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D7" w:rsidRDefault="00532533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</w:p>
    <w:p w:rsidR="003269D7" w:rsidRDefault="00532533">
      <w:pPr>
        <w:pStyle w:val="a5"/>
        <w:spacing w:line="600" w:lineRule="atLeast"/>
        <w:ind w:left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四川轻化工大学简介</w:t>
      </w:r>
    </w:p>
    <w:p w:rsidR="00922575" w:rsidRPr="00D92914" w:rsidRDefault="00922575" w:rsidP="0092257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92914">
        <w:rPr>
          <w:rFonts w:asciiTheme="minorEastAsia" w:hAnsiTheme="minorEastAsia" w:hint="eastAsia"/>
          <w:sz w:val="28"/>
          <w:szCs w:val="28"/>
        </w:rPr>
        <w:t>四川轻化工大学是一所工学、理学、管理学、教育学、文学、历史学、艺术学、法学、经济学等九大学科协调发展的具有五十余年本科、近二十年研究生教育历程的普通全日制高等学校。学校坐落在两个国家历史文化名城自贡市和宜宾市，拥有李白河、汇东、宜宾三个校区。学校办学历史悠久、教育传统优秀，连续两次获得国家“中西部高校基础能力建设工程”项目，是国家卓越工程师教育培养计划高校、教育部数据中国“百校工程”建设院校、教育部首批高等学校科技成果转化和技术转移基地、国家级大学生创新创业训练计划高校、首批四川省博士后创新实践基地、四川省首批创新改革试点高校、四川省深化创新创业教育改革示范高校、四川省高新技术产业示范科研单位、中国酒业协会授牌与五粮液集团共建的“中国白酒学院”。</w:t>
      </w:r>
    </w:p>
    <w:p w:rsidR="00922575" w:rsidRPr="00D92914" w:rsidRDefault="00922575" w:rsidP="00922575">
      <w:pPr>
        <w:pStyle w:val="a5"/>
        <w:ind w:firstLine="480"/>
        <w:rPr>
          <w:rFonts w:asciiTheme="minorEastAsia" w:eastAsiaTheme="minorEastAsia" w:hAnsiTheme="minorEastAsia" w:cs="Times New Roman"/>
          <w:sz w:val="28"/>
          <w:szCs w:val="28"/>
        </w:rPr>
      </w:pPr>
      <w:r w:rsidRPr="00D92914">
        <w:rPr>
          <w:rFonts w:asciiTheme="minorEastAsia" w:eastAsiaTheme="minorEastAsia" w:hAnsiTheme="minorEastAsia" w:cs="Times New Roman" w:hint="eastAsia"/>
          <w:sz w:val="28"/>
          <w:szCs w:val="28"/>
        </w:rPr>
        <w:t>学校环境优美，风景如画，是学生奠基人生梦想、教师实现学术抱负的理想之地。美轮美奂的宜宾校区被誉为“宜宾旅游打卡圣地”，宏伟现代的自贡李白河校区被称为“别人家的大学”。学校占地面积4600余亩，建筑面积160多万平方米，国有资产总值近百亿元。目前图书纸质文献总量290余万册，中外文献数据库76个，电子资源本地镜像50T，折合电子资源500余万册。</w:t>
      </w:r>
    </w:p>
    <w:p w:rsidR="00922575" w:rsidRPr="00D92914" w:rsidRDefault="00922575" w:rsidP="00922575">
      <w:pPr>
        <w:pStyle w:val="a5"/>
        <w:ind w:firstLine="480"/>
        <w:rPr>
          <w:rFonts w:asciiTheme="minorEastAsia" w:eastAsiaTheme="minorEastAsia" w:hAnsiTheme="minorEastAsia" w:cs="Times New Roman"/>
          <w:sz w:val="28"/>
          <w:szCs w:val="28"/>
        </w:rPr>
      </w:pPr>
      <w:r w:rsidRPr="00D92914">
        <w:rPr>
          <w:rFonts w:asciiTheme="minorEastAsia" w:eastAsiaTheme="minorEastAsia" w:hAnsiTheme="minorEastAsia" w:cs="Times New Roman" w:hint="eastAsia"/>
          <w:sz w:val="28"/>
          <w:szCs w:val="28"/>
        </w:rPr>
        <w:t>学校拥有一支业务精湛、奋发有为、充满活力的师资队伍。学校现有教职工2322人，其中，专任教师1763人：教授、副教授占</w:t>
      </w:r>
      <w:r w:rsidRPr="00D92914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比近40%；具有博士、硕士学位教师占比80.2%；现有国家杰出青年科学基金获得者、入选国家级人才项目等省部级以上专家80人次；聘请特聘教授、兼职教授、客座教授100余人，其中“两院”院士3人，国家重点人才计划特聘专家、国家杰出青年科学基金获得者12人。</w:t>
      </w:r>
    </w:p>
    <w:p w:rsidR="00922575" w:rsidRPr="00D92914" w:rsidRDefault="00922575" w:rsidP="00922575">
      <w:pPr>
        <w:pStyle w:val="a5"/>
        <w:ind w:firstLine="480"/>
        <w:rPr>
          <w:rFonts w:asciiTheme="minorEastAsia" w:eastAsiaTheme="minorEastAsia" w:hAnsiTheme="minorEastAsia" w:cs="Times New Roman"/>
          <w:sz w:val="28"/>
          <w:szCs w:val="28"/>
        </w:rPr>
      </w:pPr>
      <w:r w:rsidRPr="00D92914">
        <w:rPr>
          <w:rFonts w:asciiTheme="minorEastAsia" w:eastAsiaTheme="minorEastAsia" w:hAnsiTheme="minorEastAsia" w:cs="Times New Roman" w:hint="eastAsia"/>
          <w:sz w:val="28"/>
          <w:szCs w:val="28"/>
        </w:rPr>
        <w:t>学校学科门类齐全、综合性强、特色明显，拥有化学工艺、模式识别与智能系统、发酵工程等3个四川省重点学科；现有化学工程与技术、控制科学与工程、机械工程、管理科学与工程、食品科学与工程、化学、数学等7个一级学科硕士授权点，涵盖34个二级学科；有电子信息、生物与医药、机械、材料与化工、法律硕士、教育硕士、艺术硕士、会计硕士、农业硕士等9个专业学位类别，涵盖18个专业学位领域。在长期办学过程中，形成了基础宽厚、文理交融、突出应用与创新的办学特色。</w:t>
      </w:r>
    </w:p>
    <w:p w:rsidR="00922575" w:rsidRPr="00D92914" w:rsidRDefault="00922575" w:rsidP="00922575">
      <w:pPr>
        <w:pStyle w:val="a5"/>
        <w:ind w:firstLine="480"/>
        <w:rPr>
          <w:rFonts w:asciiTheme="minorEastAsia" w:eastAsiaTheme="minorEastAsia" w:hAnsiTheme="minorEastAsia" w:cs="Times New Roman"/>
          <w:sz w:val="28"/>
          <w:szCs w:val="28"/>
        </w:rPr>
      </w:pPr>
      <w:r w:rsidRPr="00D92914">
        <w:rPr>
          <w:rFonts w:asciiTheme="minorEastAsia" w:eastAsiaTheme="minorEastAsia" w:hAnsiTheme="minorEastAsia" w:cs="Times New Roman" w:hint="eastAsia"/>
          <w:sz w:val="28"/>
          <w:szCs w:val="28"/>
        </w:rPr>
        <w:t>学校现有24个学院，77个本科专业，面向全国31个省（市、自治区）招生，现有全日制在校研究生、本科生、留学生等4.2万人。学校现有5个国家级一流本科专业，11个省级一流专业，4个国家级特色专业，9个省级特色专业，5个国家级卓越工程师教育培养计划专业，9个省级“卓越计划”教育培养专业，4个省级应用型示范专业；3个国家级工程实践教育中心，1个国家级大学生校外实践教育基地，1个省级博士后创新实践基地，3个省级教学示范中心，2个省级虚拟仿真实验教学中心，1个省级人才培养模式创新实验区；10门省级应用型示范课程，1门国家一流课程，</w:t>
      </w:r>
      <w:r w:rsidRPr="00D92914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19门省级一流课程，9门省级“课程思政”示范课程，6门省级创新创业教育示范课程。</w:t>
      </w:r>
    </w:p>
    <w:p w:rsidR="00922575" w:rsidRPr="00D92914" w:rsidRDefault="00922575" w:rsidP="00922575">
      <w:pPr>
        <w:pStyle w:val="a5"/>
        <w:ind w:firstLine="480"/>
        <w:rPr>
          <w:rFonts w:asciiTheme="minorEastAsia" w:eastAsiaTheme="minorEastAsia" w:hAnsiTheme="minorEastAsia" w:cs="Times New Roman"/>
          <w:sz w:val="28"/>
          <w:szCs w:val="28"/>
        </w:rPr>
      </w:pPr>
      <w:r w:rsidRPr="00D92914">
        <w:rPr>
          <w:rFonts w:asciiTheme="minorEastAsia" w:eastAsiaTheme="minorEastAsia" w:hAnsiTheme="minorEastAsia" w:cs="Times New Roman" w:hint="eastAsia"/>
          <w:sz w:val="28"/>
          <w:szCs w:val="28"/>
        </w:rPr>
        <w:t>学校拥有国家级晨光高性能氟材料创新中心、国家级大学科技园，拥有酿酒生物技术及应用四川省重点实验室、人工智能四川省重点实验室、材料腐蚀与防护四川省重点实验室等省级重点实验室3个；中国盐文化研究中心、川酒发展研究中心等四川省哲学社会科学重点研究基地2个；民俗灯文化普及基地四川省社会科学普及基地1个；四川省创新团队5个；四川省院士（专家）工作站1个；四川省工程实验室2个；四川省产业技术研究院2个：四川省高校重点实验室5个；四川省高校人文社科重点研究基地4个；四川省旅游科研重点基地1个；四川省知识产权教育培训基地1个；四川省2011协同创新中心4个；四川省产业技术创新联盟8个。</w:t>
      </w:r>
    </w:p>
    <w:p w:rsidR="00922575" w:rsidRPr="00D92914" w:rsidRDefault="00922575" w:rsidP="00922575">
      <w:pPr>
        <w:pStyle w:val="a5"/>
        <w:ind w:firstLine="480"/>
        <w:rPr>
          <w:rFonts w:asciiTheme="minorEastAsia" w:eastAsiaTheme="minorEastAsia" w:hAnsiTheme="minorEastAsia" w:cs="Times New Roman"/>
          <w:sz w:val="28"/>
          <w:szCs w:val="28"/>
        </w:rPr>
      </w:pPr>
      <w:r w:rsidRPr="00D92914">
        <w:rPr>
          <w:rFonts w:asciiTheme="minorEastAsia" w:eastAsiaTheme="minorEastAsia" w:hAnsiTheme="minorEastAsia" w:cs="Times New Roman" w:hint="eastAsia"/>
          <w:sz w:val="28"/>
          <w:szCs w:val="28"/>
        </w:rPr>
        <w:t>学校始终坚持“学科支撑产业、专业服务行业”的理念，凝智聚力，积极推进科研成果转化。学校先后与省内外10余个市级人民政府，与五粮液、泸州老窖、中昊集团晨光化工研究院、华西能源等100多家知名企业签订了全面战略协议和产学研合作协议，全面开展人才培养与科技攻关合作，以建设特色产业学院、研究机构、成立产业联盟等形式，与行业企业实现资源共享、优势互补，推动高水平科研成果转化为现实生产力。</w:t>
      </w:r>
    </w:p>
    <w:p w:rsidR="00922575" w:rsidRPr="00D92914" w:rsidRDefault="00922575" w:rsidP="00922575">
      <w:pPr>
        <w:pStyle w:val="a5"/>
        <w:ind w:firstLine="480"/>
        <w:rPr>
          <w:rFonts w:asciiTheme="minorEastAsia" w:eastAsiaTheme="minorEastAsia" w:hAnsiTheme="minorEastAsia" w:cs="Times New Roman"/>
          <w:sz w:val="28"/>
          <w:szCs w:val="28"/>
        </w:rPr>
      </w:pPr>
      <w:r w:rsidRPr="00D92914">
        <w:rPr>
          <w:rFonts w:asciiTheme="minorEastAsia" w:eastAsiaTheme="minorEastAsia" w:hAnsiTheme="minorEastAsia" w:cs="Times New Roman" w:hint="eastAsia"/>
          <w:sz w:val="28"/>
          <w:szCs w:val="28"/>
        </w:rPr>
        <w:t>学校秉承开放办学理念，积极开展对外交流活动，与世界上20多个国家50余所国外高校和科研机构建立了合作与交流关系，招</w:t>
      </w:r>
      <w:r w:rsidRPr="00D92914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收了来自60余个国家700余名的各类留学生，近2000名学生赴国(境)外交流学习、实习、考察或联合培养，每年近百名教师出国（境）学术交流和访学。建有2个汉语言文化中心。获教育部批准与美国圣弗朗西斯大学联合举办“视觉传达与设计”中外合作办学本科项目。</w:t>
      </w:r>
    </w:p>
    <w:p w:rsidR="003269D7" w:rsidRPr="00922575" w:rsidRDefault="003269D7" w:rsidP="00922575">
      <w:pPr>
        <w:pStyle w:val="a5"/>
        <w:spacing w:line="600" w:lineRule="atLeast"/>
        <w:ind w:firstLine="420"/>
      </w:pPr>
    </w:p>
    <w:sectPr w:rsidR="003269D7" w:rsidRPr="00922575" w:rsidSect="00326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DC8" w:rsidRDefault="00F40DC8" w:rsidP="007755E8">
      <w:r>
        <w:separator/>
      </w:r>
    </w:p>
  </w:endnote>
  <w:endnote w:type="continuationSeparator" w:id="1">
    <w:p w:rsidR="00F40DC8" w:rsidRDefault="00F40DC8" w:rsidP="0077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DC8" w:rsidRDefault="00F40DC8" w:rsidP="007755E8">
      <w:r>
        <w:separator/>
      </w:r>
    </w:p>
  </w:footnote>
  <w:footnote w:type="continuationSeparator" w:id="1">
    <w:p w:rsidR="00F40DC8" w:rsidRDefault="00F40DC8" w:rsidP="007755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C614E"/>
    <w:rsid w:val="002C1288"/>
    <w:rsid w:val="003269D7"/>
    <w:rsid w:val="00532533"/>
    <w:rsid w:val="006B747A"/>
    <w:rsid w:val="007755E8"/>
    <w:rsid w:val="00870E36"/>
    <w:rsid w:val="00922575"/>
    <w:rsid w:val="009F4ED1"/>
    <w:rsid w:val="00BE1DB6"/>
    <w:rsid w:val="00DC614E"/>
    <w:rsid w:val="00E768D6"/>
    <w:rsid w:val="00F40DC8"/>
    <w:rsid w:val="00FA1D64"/>
    <w:rsid w:val="3EF42976"/>
    <w:rsid w:val="78181CE8"/>
    <w:rsid w:val="7C45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Keyboard" w:qFormat="1"/>
    <w:lsdException w:name="HTML Samp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D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6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6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269D7"/>
    <w:pPr>
      <w:widowControl/>
      <w:spacing w:before="150" w:after="150"/>
      <w:ind w:left="150" w:right="150"/>
      <w:jc w:val="left"/>
    </w:pPr>
    <w:rPr>
      <w:rFonts w:ascii="宋体" w:hAnsi="宋体" w:cs="宋体"/>
      <w:color w:val="333333"/>
      <w:kern w:val="0"/>
      <w:sz w:val="24"/>
    </w:rPr>
  </w:style>
  <w:style w:type="character" w:styleId="a6">
    <w:name w:val="Strong"/>
    <w:basedOn w:val="a0"/>
    <w:uiPriority w:val="22"/>
    <w:qFormat/>
    <w:rsid w:val="003269D7"/>
    <w:rPr>
      <w:b/>
      <w:bCs/>
    </w:rPr>
  </w:style>
  <w:style w:type="character" w:styleId="a7">
    <w:name w:val="FollowedHyperlink"/>
    <w:basedOn w:val="a0"/>
    <w:uiPriority w:val="99"/>
    <w:semiHidden/>
    <w:unhideWhenUsed/>
    <w:qFormat/>
    <w:rsid w:val="003269D7"/>
    <w:rPr>
      <w:color w:val="0000FF"/>
      <w:sz w:val="19"/>
      <w:szCs w:val="19"/>
      <w:u w:val="none"/>
    </w:rPr>
  </w:style>
  <w:style w:type="character" w:styleId="a8">
    <w:name w:val="Hyperlink"/>
    <w:basedOn w:val="a0"/>
    <w:uiPriority w:val="99"/>
    <w:semiHidden/>
    <w:unhideWhenUsed/>
    <w:qFormat/>
    <w:rsid w:val="003269D7"/>
    <w:rPr>
      <w:color w:val="0000FF"/>
      <w:sz w:val="19"/>
      <w:szCs w:val="19"/>
      <w:u w:val="none"/>
    </w:rPr>
  </w:style>
  <w:style w:type="character" w:styleId="HTML">
    <w:name w:val="HTML Code"/>
    <w:basedOn w:val="a0"/>
    <w:uiPriority w:val="99"/>
    <w:semiHidden/>
    <w:unhideWhenUsed/>
    <w:qFormat/>
    <w:rsid w:val="003269D7"/>
    <w:rPr>
      <w:rFonts w:ascii="Consolas" w:eastAsia="Consolas" w:hAnsi="Consolas" w:cs="Consolas" w:hint="default"/>
      <w:color w:val="E83E8C"/>
      <w:sz w:val="21"/>
      <w:szCs w:val="21"/>
    </w:rPr>
  </w:style>
  <w:style w:type="character" w:styleId="HTML0">
    <w:name w:val="HTML Keyboard"/>
    <w:basedOn w:val="a0"/>
    <w:uiPriority w:val="99"/>
    <w:semiHidden/>
    <w:unhideWhenUsed/>
    <w:qFormat/>
    <w:rsid w:val="003269D7"/>
    <w:rPr>
      <w:rFonts w:ascii="Consolas" w:eastAsia="Consolas" w:hAnsi="Consolas" w:cs="Consolas"/>
      <w:color w:val="FFFFFF"/>
      <w:sz w:val="21"/>
      <w:szCs w:val="21"/>
      <w:shd w:val="clear" w:color="auto" w:fill="212529"/>
    </w:rPr>
  </w:style>
  <w:style w:type="character" w:styleId="HTML1">
    <w:name w:val="HTML Sample"/>
    <w:basedOn w:val="a0"/>
    <w:uiPriority w:val="99"/>
    <w:semiHidden/>
    <w:unhideWhenUsed/>
    <w:qFormat/>
    <w:rsid w:val="003269D7"/>
    <w:rPr>
      <w:rFonts w:ascii="Consolas" w:eastAsia="Consolas" w:hAnsi="Consolas" w:cs="Consolas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sid w:val="003269D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269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周珊</cp:lastModifiedBy>
  <cp:revision>6</cp:revision>
  <dcterms:created xsi:type="dcterms:W3CDTF">2018-11-20T05:28:00Z</dcterms:created>
  <dcterms:modified xsi:type="dcterms:W3CDTF">2022-03-23T08:08:00Z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